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705102" w:rsidRDefault="00705102"/>
    <w:p w14:paraId="00000002" w14:textId="77777777" w:rsidR="00705102" w:rsidRDefault="00705102"/>
    <w:p w14:paraId="00000003" w14:textId="77777777" w:rsidR="00705102" w:rsidRDefault="00705102"/>
    <w:p w14:paraId="00000004" w14:textId="77777777" w:rsidR="00705102" w:rsidRDefault="00705102"/>
    <w:p w14:paraId="00000005" w14:textId="77777777" w:rsidR="00705102" w:rsidRDefault="00705102"/>
    <w:p w14:paraId="00000006" w14:textId="77777777" w:rsidR="00705102" w:rsidRDefault="00705102"/>
    <w:p w14:paraId="00000007" w14:textId="77777777" w:rsidR="00705102" w:rsidRDefault="00705102"/>
    <w:p w14:paraId="00000008" w14:textId="77777777" w:rsidR="00705102" w:rsidRDefault="00705102"/>
    <w:p w14:paraId="00000009" w14:textId="77777777" w:rsidR="00705102" w:rsidRDefault="00705102"/>
    <w:p w14:paraId="0000000A" w14:textId="77777777" w:rsidR="00705102" w:rsidRDefault="00705102"/>
    <w:p w14:paraId="0000000B" w14:textId="77777777" w:rsidR="00705102" w:rsidRDefault="00322371">
      <w:pPr>
        <w:spacing w:line="360" w:lineRule="auto"/>
        <w:jc w:val="center"/>
      </w:pPr>
      <w:r>
        <w:t>Gender Sterotypes in the Workplace</w:t>
      </w:r>
    </w:p>
    <w:p w14:paraId="0000000C" w14:textId="77777777" w:rsidR="00705102" w:rsidRDefault="00322371">
      <w:pPr>
        <w:spacing w:line="360" w:lineRule="auto"/>
        <w:jc w:val="center"/>
      </w:pPr>
      <w:r>
        <w:t>Khalila Nwachukwu</w:t>
      </w:r>
    </w:p>
    <w:p w14:paraId="0000000D" w14:textId="77777777" w:rsidR="00705102" w:rsidRDefault="00322371">
      <w:pPr>
        <w:spacing w:line="360" w:lineRule="auto"/>
        <w:jc w:val="center"/>
      </w:pPr>
      <w:r>
        <w:t>Grand Canyon University</w:t>
      </w:r>
    </w:p>
    <w:p w14:paraId="651081BD" w14:textId="62ABED2C" w:rsidR="00322371" w:rsidRDefault="00322371">
      <w:pPr>
        <w:spacing w:line="360" w:lineRule="auto"/>
        <w:jc w:val="center"/>
      </w:pPr>
      <w:r>
        <w:t>Professor Marrianne Jankowski</w:t>
      </w:r>
    </w:p>
    <w:p w14:paraId="454E29F1" w14:textId="571540D0" w:rsidR="00322371" w:rsidRDefault="00322371">
      <w:pPr>
        <w:spacing w:line="360" w:lineRule="auto"/>
        <w:jc w:val="center"/>
      </w:pPr>
      <w:r>
        <w:t>September 6, 2019</w:t>
      </w:r>
      <w:bookmarkStart w:id="0" w:name="_GoBack"/>
      <w:bookmarkEnd w:id="0"/>
    </w:p>
    <w:p w14:paraId="0000000E" w14:textId="77777777" w:rsidR="00705102" w:rsidRDefault="00705102">
      <w:pPr>
        <w:spacing w:line="360" w:lineRule="auto"/>
        <w:jc w:val="center"/>
      </w:pPr>
    </w:p>
    <w:p w14:paraId="0000000F" w14:textId="77777777" w:rsidR="00705102" w:rsidRDefault="00705102">
      <w:pPr>
        <w:spacing w:line="360" w:lineRule="auto"/>
        <w:jc w:val="center"/>
      </w:pPr>
    </w:p>
    <w:p w14:paraId="00000010" w14:textId="77777777" w:rsidR="00705102" w:rsidRDefault="00705102">
      <w:pPr>
        <w:spacing w:line="360" w:lineRule="auto"/>
        <w:jc w:val="center"/>
      </w:pPr>
    </w:p>
    <w:p w14:paraId="00000011" w14:textId="77777777" w:rsidR="00705102" w:rsidRDefault="00705102">
      <w:pPr>
        <w:spacing w:line="360" w:lineRule="auto"/>
        <w:jc w:val="center"/>
      </w:pPr>
    </w:p>
    <w:p w14:paraId="00000012" w14:textId="77777777" w:rsidR="00705102" w:rsidRDefault="00705102">
      <w:pPr>
        <w:spacing w:line="360" w:lineRule="auto"/>
        <w:jc w:val="center"/>
      </w:pPr>
    </w:p>
    <w:p w14:paraId="00000013" w14:textId="77777777" w:rsidR="00705102" w:rsidRDefault="00705102">
      <w:pPr>
        <w:spacing w:line="360" w:lineRule="auto"/>
        <w:jc w:val="center"/>
      </w:pPr>
    </w:p>
    <w:p w14:paraId="00000014" w14:textId="77777777" w:rsidR="00705102" w:rsidRDefault="00705102">
      <w:pPr>
        <w:spacing w:line="360" w:lineRule="auto"/>
        <w:jc w:val="center"/>
      </w:pPr>
    </w:p>
    <w:p w14:paraId="00000015" w14:textId="77777777" w:rsidR="00705102" w:rsidRDefault="00705102">
      <w:pPr>
        <w:spacing w:line="360" w:lineRule="auto"/>
        <w:jc w:val="center"/>
      </w:pPr>
    </w:p>
    <w:p w14:paraId="00000016" w14:textId="77777777" w:rsidR="00705102" w:rsidRDefault="00705102">
      <w:pPr>
        <w:spacing w:line="360" w:lineRule="auto"/>
        <w:jc w:val="center"/>
      </w:pPr>
    </w:p>
    <w:p w14:paraId="00000017" w14:textId="77777777" w:rsidR="00705102" w:rsidRDefault="00705102">
      <w:pPr>
        <w:spacing w:line="360" w:lineRule="auto"/>
        <w:jc w:val="center"/>
      </w:pPr>
    </w:p>
    <w:p w14:paraId="00000018" w14:textId="77777777" w:rsidR="00705102" w:rsidRDefault="00705102">
      <w:pPr>
        <w:spacing w:line="360" w:lineRule="auto"/>
        <w:jc w:val="center"/>
      </w:pPr>
    </w:p>
    <w:p w14:paraId="00000019" w14:textId="77777777" w:rsidR="00705102" w:rsidRDefault="00705102">
      <w:pPr>
        <w:spacing w:line="360" w:lineRule="auto"/>
        <w:jc w:val="center"/>
      </w:pPr>
    </w:p>
    <w:p w14:paraId="0000001A" w14:textId="77777777" w:rsidR="00705102" w:rsidRDefault="00705102">
      <w:pPr>
        <w:spacing w:line="360" w:lineRule="auto"/>
        <w:jc w:val="center"/>
      </w:pPr>
    </w:p>
    <w:p w14:paraId="0000001B" w14:textId="77777777" w:rsidR="00705102" w:rsidRDefault="00705102">
      <w:pPr>
        <w:spacing w:line="360" w:lineRule="auto"/>
        <w:jc w:val="center"/>
      </w:pPr>
    </w:p>
    <w:p w14:paraId="0000001C" w14:textId="77777777" w:rsidR="00705102" w:rsidRDefault="00705102">
      <w:pPr>
        <w:spacing w:line="360" w:lineRule="auto"/>
        <w:jc w:val="center"/>
      </w:pPr>
    </w:p>
    <w:p w14:paraId="0000001D" w14:textId="77777777" w:rsidR="00705102" w:rsidRDefault="00705102">
      <w:pPr>
        <w:spacing w:line="360" w:lineRule="auto"/>
        <w:jc w:val="center"/>
      </w:pPr>
    </w:p>
    <w:p w14:paraId="0000001E" w14:textId="77777777" w:rsidR="00705102" w:rsidRDefault="00705102">
      <w:pPr>
        <w:spacing w:line="360" w:lineRule="auto"/>
        <w:jc w:val="center"/>
      </w:pPr>
    </w:p>
    <w:p w14:paraId="0000001F" w14:textId="77777777" w:rsidR="00705102" w:rsidRDefault="00705102">
      <w:pPr>
        <w:spacing w:line="360" w:lineRule="auto"/>
        <w:jc w:val="center"/>
      </w:pPr>
    </w:p>
    <w:p w14:paraId="00000020" w14:textId="77777777" w:rsidR="00705102" w:rsidRDefault="00705102">
      <w:pPr>
        <w:spacing w:line="360" w:lineRule="auto"/>
        <w:jc w:val="center"/>
      </w:pPr>
    </w:p>
    <w:p w14:paraId="00000021" w14:textId="77777777" w:rsidR="00705102" w:rsidRDefault="00705102">
      <w:pPr>
        <w:spacing w:line="360" w:lineRule="auto"/>
        <w:jc w:val="center"/>
      </w:pPr>
    </w:p>
    <w:p w14:paraId="00000022" w14:textId="77777777" w:rsidR="00705102" w:rsidRDefault="00705102">
      <w:pPr>
        <w:spacing w:line="360" w:lineRule="auto"/>
        <w:jc w:val="center"/>
      </w:pPr>
    </w:p>
    <w:p w14:paraId="00000023" w14:textId="77777777" w:rsidR="00705102" w:rsidRDefault="00705102">
      <w:pPr>
        <w:spacing w:line="360" w:lineRule="auto"/>
        <w:jc w:val="center"/>
      </w:pPr>
    </w:p>
    <w:p w14:paraId="00000024" w14:textId="77777777" w:rsidR="00705102" w:rsidRDefault="00705102">
      <w:pPr>
        <w:spacing w:line="360" w:lineRule="auto"/>
        <w:jc w:val="center"/>
      </w:pPr>
    </w:p>
    <w:p w14:paraId="00000025" w14:textId="2587BF1F" w:rsidR="00705102" w:rsidRDefault="00322371">
      <w:pPr>
        <w:spacing w:line="360" w:lineRule="auto"/>
        <w:jc w:val="center"/>
      </w:pPr>
      <w:r>
        <w:t>Abstract</w:t>
      </w:r>
    </w:p>
    <w:p w14:paraId="00000029" w14:textId="77777777" w:rsidR="00705102" w:rsidRDefault="00705102">
      <w:pPr>
        <w:spacing w:line="360" w:lineRule="auto"/>
      </w:pPr>
    </w:p>
    <w:p w14:paraId="0000002A" w14:textId="5DF55152" w:rsidR="00705102" w:rsidRDefault="00322371">
      <w:pPr>
        <w:spacing w:line="480" w:lineRule="auto"/>
      </w:pPr>
      <w:r>
        <w:t xml:space="preserve"> </w:t>
      </w:r>
      <w:r>
        <w:tab/>
        <w:t xml:space="preserve">For my research I set out to investigate the issues of gender stereotypes against women in the workplace. </w:t>
      </w:r>
      <w:r>
        <w:t>Research on sexual orientation disparity has set the significance of sex segregation for women in the workplace. Past examinations have recommended that sex stereotyping and authoritative variables may add to separation. However it isn't surely known how t</w:t>
      </w:r>
      <w:r>
        <w:t xml:space="preserve">hese components associate with cultivate sexual orientation segregation in regular working environments. This work adds to our comprehension of these connections by examining 219 separation accounts built from sex segregation cases brought before the Ohio </w:t>
      </w:r>
      <w:r>
        <w:t>Civil Rights Commission. By looking over an assortment of genuine work settings, the examination reveals insight into the social underpinnings and basic settings in which prejudicial activities happen. The investigations uncover how sexual orientation ster</w:t>
      </w:r>
      <w:r>
        <w:t>eotyping joins in unsurprising ways with sex synthesis</w:t>
      </w:r>
      <w:r>
        <w:t xml:space="preserve"> of working environments and authoritative arrangements, frequently through interactional elements of optional approach use, to bring about segregation. The discoveries propose the significance of social</w:t>
      </w:r>
      <w:r>
        <w:t>, auxiliary, and interactional effects on sex segregation.</w:t>
      </w:r>
    </w:p>
    <w:p w14:paraId="0000002B" w14:textId="77777777" w:rsidR="00705102" w:rsidRDefault="00705102">
      <w:pPr>
        <w:spacing w:line="360" w:lineRule="auto"/>
      </w:pPr>
    </w:p>
    <w:p w14:paraId="0000002C" w14:textId="77777777" w:rsidR="00705102" w:rsidRDefault="00705102">
      <w:pPr>
        <w:spacing w:line="360" w:lineRule="auto"/>
      </w:pPr>
    </w:p>
    <w:p w14:paraId="0000002D" w14:textId="77777777" w:rsidR="00705102" w:rsidRDefault="00705102">
      <w:pPr>
        <w:spacing w:line="360" w:lineRule="auto"/>
      </w:pPr>
    </w:p>
    <w:p w14:paraId="0000002E" w14:textId="77777777" w:rsidR="00705102" w:rsidRDefault="00705102">
      <w:pPr>
        <w:spacing w:line="360" w:lineRule="auto"/>
      </w:pPr>
    </w:p>
    <w:p w14:paraId="0000002F" w14:textId="77777777" w:rsidR="00705102" w:rsidRDefault="00705102">
      <w:pPr>
        <w:spacing w:line="360" w:lineRule="auto"/>
      </w:pPr>
    </w:p>
    <w:p w14:paraId="00000030" w14:textId="77777777" w:rsidR="00705102" w:rsidRDefault="00705102">
      <w:pPr>
        <w:spacing w:line="360" w:lineRule="auto"/>
      </w:pPr>
    </w:p>
    <w:p w14:paraId="00000031" w14:textId="77777777" w:rsidR="00705102" w:rsidRDefault="00705102">
      <w:pPr>
        <w:spacing w:line="360" w:lineRule="auto"/>
      </w:pPr>
    </w:p>
    <w:p w14:paraId="00000032" w14:textId="77777777" w:rsidR="00705102" w:rsidRDefault="00705102">
      <w:pPr>
        <w:spacing w:line="360" w:lineRule="auto"/>
      </w:pPr>
    </w:p>
    <w:p w14:paraId="00000033" w14:textId="77777777" w:rsidR="00705102" w:rsidRDefault="00705102">
      <w:pPr>
        <w:spacing w:line="360" w:lineRule="auto"/>
      </w:pPr>
    </w:p>
    <w:p w14:paraId="00000034" w14:textId="77777777" w:rsidR="00705102" w:rsidRDefault="00705102">
      <w:pPr>
        <w:spacing w:line="360" w:lineRule="auto"/>
      </w:pPr>
    </w:p>
    <w:p w14:paraId="00000035" w14:textId="77777777" w:rsidR="00705102" w:rsidRDefault="00705102">
      <w:pPr>
        <w:spacing w:line="360" w:lineRule="auto"/>
      </w:pPr>
    </w:p>
    <w:p w14:paraId="00000036" w14:textId="77777777" w:rsidR="00705102" w:rsidRDefault="00705102">
      <w:pPr>
        <w:spacing w:line="360" w:lineRule="auto"/>
      </w:pPr>
    </w:p>
    <w:p w14:paraId="00000037" w14:textId="77777777" w:rsidR="00705102" w:rsidRDefault="00705102">
      <w:pPr>
        <w:spacing w:line="360" w:lineRule="auto"/>
      </w:pPr>
    </w:p>
    <w:p w14:paraId="00000038" w14:textId="77777777" w:rsidR="00705102" w:rsidRDefault="00705102">
      <w:pPr>
        <w:spacing w:line="360" w:lineRule="auto"/>
      </w:pPr>
    </w:p>
    <w:p w14:paraId="00000039" w14:textId="77777777" w:rsidR="00705102" w:rsidRDefault="00322371">
      <w:pPr>
        <w:spacing w:line="360" w:lineRule="auto"/>
        <w:jc w:val="center"/>
      </w:pPr>
      <w:r>
        <w:t>References:</w:t>
      </w:r>
    </w:p>
    <w:p w14:paraId="0000003A" w14:textId="77777777" w:rsidR="00705102" w:rsidRDefault="00705102">
      <w:pPr>
        <w:spacing w:line="360" w:lineRule="auto"/>
        <w:rPr>
          <w:rFonts w:ascii="Times New Roman" w:eastAsia="Times New Roman" w:hAnsi="Times New Roman" w:cs="Times New Roman"/>
        </w:rPr>
      </w:pPr>
    </w:p>
    <w:p w14:paraId="0000003B" w14:textId="77777777" w:rsidR="00705102" w:rsidRDefault="00322371">
      <w:pPr>
        <w:spacing w:line="360" w:lineRule="auto"/>
        <w:rPr>
          <w:rFonts w:ascii="Times New Roman" w:eastAsia="Times New Roman" w:hAnsi="Times New Roman" w:cs="Times New Roman"/>
        </w:rPr>
      </w:pPr>
      <w:r>
        <w:rPr>
          <w:rFonts w:ascii="Times New Roman" w:eastAsia="Times New Roman" w:hAnsi="Times New Roman" w:cs="Times New Roman"/>
        </w:rPr>
        <w:t>Rippon, G. (2019). Do women and men have different brains? New Scientist, 241(3219), 28–31. https://doi-org.lopes.idm.oclc.org/10.1016/S0262-4079(19)30376-8</w:t>
      </w:r>
    </w:p>
    <w:p w14:paraId="0000003C" w14:textId="77777777" w:rsidR="00705102" w:rsidRDefault="00705102">
      <w:pPr>
        <w:spacing w:line="360" w:lineRule="auto"/>
        <w:rPr>
          <w:rFonts w:ascii="Times New Roman" w:eastAsia="Times New Roman" w:hAnsi="Times New Roman" w:cs="Times New Roman"/>
        </w:rPr>
      </w:pPr>
    </w:p>
    <w:p w14:paraId="0000003D" w14:textId="77777777" w:rsidR="00705102" w:rsidRDefault="00322371">
      <w:pPr>
        <w:spacing w:after="120" w:line="360" w:lineRule="auto"/>
        <w:rPr>
          <w:rFonts w:ascii="Times New Roman" w:eastAsia="Times New Roman" w:hAnsi="Times New Roman" w:cs="Times New Roman"/>
        </w:rPr>
      </w:pPr>
      <w:r>
        <w:rPr>
          <w:rFonts w:ascii="Times New Roman" w:eastAsia="Times New Roman" w:hAnsi="Times New Roman" w:cs="Times New Roman"/>
        </w:rPr>
        <w:t xml:space="preserve">Bohnet, I. (2016). What works: Gender equality by design. Harvard University Press. </w:t>
      </w:r>
    </w:p>
    <w:p w14:paraId="0000003E" w14:textId="77777777" w:rsidR="00705102" w:rsidRDefault="00705102">
      <w:pPr>
        <w:spacing w:after="120" w:line="360" w:lineRule="auto"/>
        <w:rPr>
          <w:rFonts w:ascii="Times New Roman" w:eastAsia="Times New Roman" w:hAnsi="Times New Roman" w:cs="Times New Roman"/>
        </w:rPr>
      </w:pPr>
    </w:p>
    <w:p w14:paraId="0000003F" w14:textId="77777777" w:rsidR="00705102" w:rsidRDefault="00322371">
      <w:pPr>
        <w:spacing w:line="360" w:lineRule="auto"/>
        <w:rPr>
          <w:rFonts w:ascii="Times New Roman" w:eastAsia="Times New Roman" w:hAnsi="Times New Roman" w:cs="Times New Roman"/>
        </w:rPr>
      </w:pPr>
      <w:r>
        <w:rPr>
          <w:rFonts w:ascii="Times New Roman" w:eastAsia="Times New Roman" w:hAnsi="Times New Roman" w:cs="Times New Roman"/>
        </w:rPr>
        <w:t>Likki, T., Londakova, K., &amp; Ter Meer, J. (2017). Improving the relationship between line managers and female staff: Testing a perspective-taking exercise. Equality and Hu</w:t>
      </w:r>
      <w:r>
        <w:rPr>
          <w:rFonts w:ascii="Times New Roman" w:eastAsia="Times New Roman" w:hAnsi="Times New Roman" w:cs="Times New Roman"/>
        </w:rPr>
        <w:t>man Rights Commission.</w:t>
      </w:r>
    </w:p>
    <w:p w14:paraId="00000040" w14:textId="77777777" w:rsidR="00705102" w:rsidRDefault="00705102">
      <w:pPr>
        <w:spacing w:line="360" w:lineRule="auto"/>
        <w:rPr>
          <w:rFonts w:ascii="Times New Roman" w:eastAsia="Times New Roman" w:hAnsi="Times New Roman" w:cs="Times New Roman"/>
        </w:rPr>
      </w:pPr>
    </w:p>
    <w:p w14:paraId="00000041" w14:textId="77777777" w:rsidR="00705102" w:rsidRDefault="00322371">
      <w:pPr>
        <w:spacing w:line="360" w:lineRule="auto"/>
        <w:rPr>
          <w:rFonts w:ascii="Times New Roman" w:eastAsia="Times New Roman" w:hAnsi="Times New Roman" w:cs="Times New Roman"/>
        </w:rPr>
      </w:pPr>
      <w:r>
        <w:rPr>
          <w:rFonts w:ascii="Times New Roman" w:eastAsia="Times New Roman" w:hAnsi="Times New Roman" w:cs="Times New Roman"/>
        </w:rPr>
        <w:t>Bjerre, K. bjerrkr0@sewanee. ed. (2018). The Role of Gender Stereotypes in Gubernatorial Campaign Coverage. American Journal of Undergraduate Research, 15(1), 55–69.Retrieved from:https://search-ebscohost-com.lopes.idm.oclc.org/logi</w:t>
      </w:r>
      <w:r>
        <w:rPr>
          <w:rFonts w:ascii="Times New Roman" w:eastAsia="Times New Roman" w:hAnsi="Times New Roman" w:cs="Times New Roman"/>
        </w:rPr>
        <w:t>n.aspx?direct=true&amp;db=aci&amp;AN=130322108&amp;site=eds-live&amp;scope=site</w:t>
      </w:r>
    </w:p>
    <w:p w14:paraId="00000042" w14:textId="77777777" w:rsidR="00705102" w:rsidRDefault="00322371">
      <w:pPr>
        <w:spacing w:before="460" w:line="360" w:lineRule="auto"/>
        <w:ind w:right="500"/>
        <w:rPr>
          <w:rFonts w:ascii="Times New Roman" w:eastAsia="Times New Roman" w:hAnsi="Times New Roman" w:cs="Times New Roman"/>
        </w:rPr>
      </w:pPr>
      <w:r>
        <w:rPr>
          <w:rFonts w:ascii="Times New Roman" w:eastAsia="Times New Roman" w:hAnsi="Times New Roman" w:cs="Times New Roman"/>
        </w:rPr>
        <w:t>Heilman, M. E. (2012). Gender stereotypes and workplace bias. Research in Organizational Behavior, 32, 113-135. https://doi.org/10.1016/j.riob.2012.11.003</w:t>
      </w:r>
    </w:p>
    <w:p w14:paraId="00000043" w14:textId="77777777" w:rsidR="00705102" w:rsidRDefault="00705102">
      <w:pPr>
        <w:spacing w:line="360" w:lineRule="auto"/>
        <w:rPr>
          <w:rFonts w:ascii="Times New Roman" w:eastAsia="Times New Roman" w:hAnsi="Times New Roman" w:cs="Times New Roman"/>
        </w:rPr>
      </w:pPr>
    </w:p>
    <w:p w14:paraId="00000044" w14:textId="77777777" w:rsidR="00705102" w:rsidRDefault="00322371">
      <w:pPr>
        <w:rPr>
          <w:rFonts w:ascii="Times New Roman" w:eastAsia="Times New Roman" w:hAnsi="Times New Roman" w:cs="Times New Roman"/>
        </w:rPr>
      </w:pPr>
      <w:r>
        <w:rPr>
          <w:rFonts w:ascii="Times New Roman" w:eastAsia="Times New Roman" w:hAnsi="Times New Roman" w:cs="Times New Roman"/>
        </w:rPr>
        <w:t xml:space="preserve">"Gender Identity &amp; Roles | Feminine </w:t>
      </w:r>
      <w:r>
        <w:rPr>
          <w:rFonts w:ascii="Times New Roman" w:eastAsia="Times New Roman" w:hAnsi="Times New Roman" w:cs="Times New Roman"/>
        </w:rPr>
        <w:t>Traits &amp; Stereotypes" . n.p., 21 Sep. 2018.Web. 23 Sep. 2018.</w:t>
      </w:r>
    </w:p>
    <w:p w14:paraId="00000045" w14:textId="77777777" w:rsidR="00705102" w:rsidRDefault="00322371">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14:paraId="00000046" w14:textId="77777777" w:rsidR="00705102" w:rsidRDefault="00322371">
      <w:pPr>
        <w:rPr>
          <w:rFonts w:ascii="Times New Roman" w:eastAsia="Times New Roman" w:hAnsi="Times New Roman" w:cs="Times New Roman"/>
        </w:rPr>
      </w:pPr>
      <w:r>
        <w:rPr>
          <w:rFonts w:ascii="Times New Roman" w:eastAsia="Times New Roman" w:hAnsi="Times New Roman" w:cs="Times New Roman"/>
        </w:rPr>
        <w:t>"Guidelines for Writing About People With Disabilities | ADA National ..." . n.p., 23 Sep. 2018.Web. 23 Sep. 2018.</w:t>
      </w:r>
    </w:p>
    <w:p w14:paraId="00000047" w14:textId="77777777" w:rsidR="00705102" w:rsidRDefault="00322371">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14:paraId="00000048" w14:textId="77777777" w:rsidR="00705102" w:rsidRDefault="00322371">
      <w:pPr>
        <w:rPr>
          <w:rFonts w:ascii="Times New Roman" w:eastAsia="Times New Roman" w:hAnsi="Times New Roman" w:cs="Times New Roman"/>
        </w:rPr>
      </w:pPr>
      <w:r>
        <w:rPr>
          <w:rFonts w:ascii="Times New Roman" w:eastAsia="Times New Roman" w:hAnsi="Times New Roman" w:cs="Times New Roman"/>
        </w:rPr>
        <w:t xml:space="preserve">"How Teachers Can Reduce Stereotype Threat in the Classroom ..." . </w:t>
      </w:r>
      <w:r>
        <w:rPr>
          <w:rFonts w:ascii="Times New Roman" w:eastAsia="Times New Roman" w:hAnsi="Times New Roman" w:cs="Times New Roman"/>
        </w:rPr>
        <w:t>n.p., 23 Sep. 2018.Web. 23 Sep. 2018.</w:t>
      </w:r>
    </w:p>
    <w:p w14:paraId="00000049" w14:textId="77777777" w:rsidR="00705102" w:rsidRDefault="00322371">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14:paraId="0000004A" w14:textId="77777777" w:rsidR="00705102" w:rsidRDefault="00322371">
      <w:pPr>
        <w:rPr>
          <w:rFonts w:ascii="Times New Roman" w:eastAsia="Times New Roman" w:hAnsi="Times New Roman" w:cs="Times New Roman"/>
        </w:rPr>
      </w:pPr>
      <w:r>
        <w:rPr>
          <w:rFonts w:ascii="Times New Roman" w:eastAsia="Times New Roman" w:hAnsi="Times New Roman" w:cs="Times New Roman"/>
        </w:rPr>
        <w:t>"Reducing the Impact of Negative Stereotypes on the Careers of ..." . n.p., 23 Sep. 2018.Web. 23 Sep. 2018.</w:t>
      </w:r>
    </w:p>
    <w:p w14:paraId="0000004B" w14:textId="77777777" w:rsidR="00705102" w:rsidRDefault="00705102">
      <w:pPr>
        <w:spacing w:line="360" w:lineRule="auto"/>
        <w:rPr>
          <w:rFonts w:ascii="Times New Roman" w:eastAsia="Times New Roman" w:hAnsi="Times New Roman" w:cs="Times New Roman"/>
        </w:rPr>
      </w:pPr>
    </w:p>
    <w:p w14:paraId="0000004C" w14:textId="77777777" w:rsidR="00705102" w:rsidRDefault="00322371">
      <w:pPr>
        <w:spacing w:line="360" w:lineRule="auto"/>
        <w:rPr>
          <w:rFonts w:ascii="Times New Roman" w:eastAsia="Times New Roman" w:hAnsi="Times New Roman" w:cs="Times New Roman"/>
        </w:rPr>
      </w:pPr>
      <w:r>
        <w:rPr>
          <w:rFonts w:ascii="Times New Roman" w:eastAsia="Times New Roman" w:hAnsi="Times New Roman" w:cs="Times New Roman"/>
        </w:rPr>
        <w:t>LIAO, A. (2019). Practice: Increasing Diversity and Inclusion. Architect, 108(5), 64–72. Retrieved from</w:t>
      </w:r>
      <w:r>
        <w:rPr>
          <w:rFonts w:ascii="Times New Roman" w:eastAsia="Times New Roman" w:hAnsi="Times New Roman" w:cs="Times New Roman"/>
        </w:rPr>
        <w:t xml:space="preserve"> https://search-ebscohost-com.lopes.idm.oclc.org/login.aspx?direct=true&amp;db=ofs&amp;AN=138005965&amp;site=eds-live&amp;scope=site</w:t>
      </w:r>
    </w:p>
    <w:p w14:paraId="0000004D" w14:textId="77777777" w:rsidR="00705102" w:rsidRDefault="00705102">
      <w:pPr>
        <w:spacing w:line="360" w:lineRule="auto"/>
      </w:pPr>
    </w:p>
    <w:sectPr w:rsidR="00705102" w:rsidSect="00322371">
      <w:headerReference w:type="default" r:id="rId7"/>
      <w:headerReference w:type="first" r:id="rId8"/>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734405" w14:textId="77777777" w:rsidR="00000000" w:rsidRDefault="00322371">
      <w:pPr>
        <w:spacing w:line="240" w:lineRule="auto"/>
      </w:pPr>
      <w:r>
        <w:separator/>
      </w:r>
    </w:p>
  </w:endnote>
  <w:endnote w:type="continuationSeparator" w:id="0">
    <w:p w14:paraId="46382FB7" w14:textId="77777777" w:rsidR="00000000" w:rsidRDefault="003223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04EE77" w14:textId="77777777" w:rsidR="00000000" w:rsidRDefault="00322371">
      <w:pPr>
        <w:spacing w:line="240" w:lineRule="auto"/>
      </w:pPr>
      <w:r>
        <w:separator/>
      </w:r>
    </w:p>
  </w:footnote>
  <w:footnote w:type="continuationSeparator" w:id="0">
    <w:p w14:paraId="762F1DED" w14:textId="77777777" w:rsidR="00000000" w:rsidRDefault="0032237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4E" w14:textId="32346F7B" w:rsidR="00705102" w:rsidRDefault="00322371">
    <w:r>
      <w:t>Gender Stereotypes</w:t>
    </w:r>
    <w:r>
      <w:t xml:space="preserve"> in the Workplace                                                                    </w:t>
    </w:r>
    <w:r>
      <w:fldChar w:fldCharType="begin"/>
    </w:r>
    <w:r>
      <w:instrText>PAGE</w:instrText>
    </w:r>
    <w:r>
      <w:fldChar w:fldCharType="separate"/>
    </w:r>
    <w:r>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4AF2F5" w14:textId="07501023" w:rsidR="00322371" w:rsidRDefault="00322371">
    <w:pPr>
      <w:pStyle w:val="Header"/>
    </w:pPr>
    <w:r>
      <w:t>Running Head:</w:t>
    </w:r>
    <w:r w:rsidRPr="00322371">
      <w:t xml:space="preserve"> </w:t>
    </w:r>
    <w:r>
      <w:t>Stereotypes</w:t>
    </w:r>
    <w:r>
      <w:t xml:space="preserve"> in the Workplace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705102"/>
    <w:rsid w:val="00322371"/>
    <w:rsid w:val="00705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322371"/>
    <w:pPr>
      <w:tabs>
        <w:tab w:val="center" w:pos="4680"/>
        <w:tab w:val="right" w:pos="9360"/>
      </w:tabs>
      <w:spacing w:line="240" w:lineRule="auto"/>
    </w:pPr>
  </w:style>
  <w:style w:type="character" w:customStyle="1" w:styleId="HeaderChar">
    <w:name w:val="Header Char"/>
    <w:basedOn w:val="DefaultParagraphFont"/>
    <w:link w:val="Header"/>
    <w:uiPriority w:val="99"/>
    <w:rsid w:val="00322371"/>
  </w:style>
  <w:style w:type="paragraph" w:styleId="Footer">
    <w:name w:val="footer"/>
    <w:basedOn w:val="Normal"/>
    <w:link w:val="FooterChar"/>
    <w:uiPriority w:val="99"/>
    <w:unhideWhenUsed/>
    <w:rsid w:val="00322371"/>
    <w:pPr>
      <w:tabs>
        <w:tab w:val="center" w:pos="4680"/>
        <w:tab w:val="right" w:pos="9360"/>
      </w:tabs>
      <w:spacing w:line="240" w:lineRule="auto"/>
    </w:pPr>
  </w:style>
  <w:style w:type="character" w:customStyle="1" w:styleId="FooterChar">
    <w:name w:val="Footer Char"/>
    <w:basedOn w:val="DefaultParagraphFont"/>
    <w:link w:val="Footer"/>
    <w:uiPriority w:val="99"/>
    <w:rsid w:val="003223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322371"/>
    <w:pPr>
      <w:tabs>
        <w:tab w:val="center" w:pos="4680"/>
        <w:tab w:val="right" w:pos="9360"/>
      </w:tabs>
      <w:spacing w:line="240" w:lineRule="auto"/>
    </w:pPr>
  </w:style>
  <w:style w:type="character" w:customStyle="1" w:styleId="HeaderChar">
    <w:name w:val="Header Char"/>
    <w:basedOn w:val="DefaultParagraphFont"/>
    <w:link w:val="Header"/>
    <w:uiPriority w:val="99"/>
    <w:rsid w:val="00322371"/>
  </w:style>
  <w:style w:type="paragraph" w:styleId="Footer">
    <w:name w:val="footer"/>
    <w:basedOn w:val="Normal"/>
    <w:link w:val="FooterChar"/>
    <w:uiPriority w:val="99"/>
    <w:unhideWhenUsed/>
    <w:rsid w:val="00322371"/>
    <w:pPr>
      <w:tabs>
        <w:tab w:val="center" w:pos="4680"/>
        <w:tab w:val="right" w:pos="9360"/>
      </w:tabs>
      <w:spacing w:line="240" w:lineRule="auto"/>
    </w:pPr>
  </w:style>
  <w:style w:type="character" w:customStyle="1" w:styleId="FooterChar">
    <w:name w:val="Footer Char"/>
    <w:basedOn w:val="DefaultParagraphFont"/>
    <w:link w:val="Footer"/>
    <w:uiPriority w:val="99"/>
    <w:rsid w:val="003223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439</Words>
  <Characters>2504</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APEX</Company>
  <LinksUpToDate>false</LinksUpToDate>
  <CharactersWithSpaces>2938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Deanwood Admissions Coordinator</dc:creator>
  <cp:lastModifiedBy>Deanwood Admissions Coordinator</cp:lastModifiedBy>
  <cp:revision>2</cp:revision>
  <dcterms:created xsi:type="dcterms:W3CDTF">2019-09-06T21:10:00Z</dcterms:created>
  <dcterms:modified xsi:type="dcterms:W3CDTF">2019-09-06T21:10:00Z</dcterms:modified>
</cp:coreProperties>
</file>